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63CF" w14:textId="2A9A5B8A" w:rsidR="004B4394" w:rsidRPr="00D920F7" w:rsidRDefault="004B4394" w:rsidP="004B4394">
      <w:pPr>
        <w:pStyle w:val="Title"/>
        <w:rPr>
          <w:sz w:val="40"/>
        </w:rPr>
      </w:pPr>
      <w:r w:rsidRPr="00D920F7">
        <w:rPr>
          <w:sz w:val="40"/>
        </w:rPr>
        <w:t xml:space="preserve">Annex </w:t>
      </w:r>
      <w:r w:rsidR="00D920F7">
        <w:rPr>
          <w:sz w:val="40"/>
        </w:rPr>
        <w:t>B</w:t>
      </w:r>
      <w:r w:rsidR="00436095">
        <w:rPr>
          <w:sz w:val="40"/>
        </w:rPr>
        <w:t xml:space="preserve">: </w:t>
      </w:r>
      <w:r w:rsidR="005323EF">
        <w:rPr>
          <w:sz w:val="40"/>
        </w:rPr>
        <w:t>Checklist</w:t>
      </w:r>
    </w:p>
    <w:p w14:paraId="2A9EB75E" w14:textId="225A8306" w:rsidR="004B4394" w:rsidRDefault="00D87948" w:rsidP="00DB4A81">
      <w:pPr>
        <w:pStyle w:val="Heading1"/>
        <w:rPr>
          <w:lang w:val="en-GB"/>
        </w:rPr>
      </w:pPr>
      <w:r>
        <w:rPr>
          <w:lang w:val="en-GB"/>
        </w:rPr>
        <w:t>Purpose</w:t>
      </w:r>
    </w:p>
    <w:p w14:paraId="0561366E" w14:textId="4C7E9C24" w:rsidR="00D87948" w:rsidRDefault="00F557A8" w:rsidP="00D87948">
      <w:r>
        <w:t xml:space="preserve">The purpose of this document is </w:t>
      </w:r>
      <w:r w:rsidR="00125933">
        <w:t>to provide guidance for the Tenderer when preparing and submitting the tender. This document is for guidance only. The Tenderer is not required to submit this document as part of its tender.</w:t>
      </w:r>
    </w:p>
    <w:p w14:paraId="2729081B" w14:textId="40B5A325" w:rsidR="00B72716" w:rsidRDefault="00B72716" w:rsidP="00DB4A81">
      <w:pPr>
        <w:pStyle w:val="Heading1"/>
        <w:rPr>
          <w:lang w:val="en-GB"/>
        </w:rPr>
      </w:pPr>
      <w:r>
        <w:rPr>
          <w:lang w:val="en-GB"/>
        </w:rPr>
        <w:t>Disclaimer</w:t>
      </w:r>
    </w:p>
    <w:p w14:paraId="7AE465F9" w14:textId="2436702A" w:rsidR="00B72716" w:rsidRDefault="00C47A9C" w:rsidP="00D87948">
      <w:r>
        <w:t xml:space="preserve">The Tenderer </w:t>
      </w:r>
      <w:r w:rsidR="001A372B">
        <w:t>is</w:t>
      </w:r>
      <w:r w:rsidR="00AF1B65">
        <w:t xml:space="preserve"> </w:t>
      </w:r>
      <w:r w:rsidR="00C85F21">
        <w:t xml:space="preserve">solely </w:t>
      </w:r>
      <w:r>
        <w:t xml:space="preserve">responsible for the completeness </w:t>
      </w:r>
      <w:r w:rsidR="00AF1B65">
        <w:t>of its tender</w:t>
      </w:r>
      <w:r w:rsidR="00706DE5">
        <w:t xml:space="preserve">. The procurement documents (see </w:t>
      </w:r>
      <w:r w:rsidR="00ED2F5F">
        <w:t xml:space="preserve">Section 2.7 of the </w:t>
      </w:r>
      <w:r w:rsidR="00E210C5" w:rsidRPr="002668F7">
        <w:rPr>
          <w:b/>
          <w:color w:val="002060"/>
        </w:rPr>
        <w:t>Invitation to Tender</w:t>
      </w:r>
      <w:r w:rsidR="00C85F21">
        <w:t>) must be read in their entirety</w:t>
      </w:r>
      <w:r w:rsidR="00E118EE">
        <w:t xml:space="preserve"> by the Tenderer</w:t>
      </w:r>
      <w:r w:rsidR="00C85F21">
        <w:t>.</w:t>
      </w:r>
    </w:p>
    <w:p w14:paraId="57828EA5" w14:textId="4352C632" w:rsidR="00D87948" w:rsidRDefault="008026BC" w:rsidP="00DB4A81">
      <w:pPr>
        <w:pStyle w:val="Heading1"/>
        <w:rPr>
          <w:lang w:val="en-GB"/>
        </w:rPr>
      </w:pPr>
      <w:r>
        <w:rPr>
          <w:lang w:val="en-GB"/>
        </w:rPr>
        <w:t>Checklist</w:t>
      </w:r>
    </w:p>
    <w:p w14:paraId="6075B8A5" w14:textId="39E83A50" w:rsidR="008026BC" w:rsidRPr="008026BC" w:rsidRDefault="008026BC" w:rsidP="008026BC">
      <w:pPr>
        <w:pStyle w:val="Heading2"/>
      </w:pPr>
      <w:r>
        <w:t>Administrative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DB4A81" w14:paraId="2C12B4AE" w14:textId="77777777" w:rsidTr="004057B6">
        <w:tc>
          <w:tcPr>
            <w:tcW w:w="562" w:type="dxa"/>
          </w:tcPr>
          <w:p w14:paraId="5053A955" w14:textId="77777777" w:rsidR="00DB4A81" w:rsidRDefault="005E3783" w:rsidP="009A0735">
            <w:sdt>
              <w:sdtPr>
                <w:rPr>
                  <w:sz w:val="32"/>
                </w:rPr>
                <w:id w:val="-1081908047"/>
                <w14:checkbox>
                  <w14:checked w14:val="0"/>
                  <w14:checkedState w14:val="2612" w14:font="MS Gothic"/>
                  <w14:uncheckedState w14:val="2610" w14:font="MS Gothic"/>
                </w14:checkbox>
              </w:sdtPr>
              <w:sdtEndPr/>
              <w:sdtContent>
                <w:r w:rsidR="00DB4A81" w:rsidRPr="00DE34AC">
                  <w:rPr>
                    <w:rFonts w:ascii="MS Gothic" w:eastAsia="MS Gothic" w:hAnsi="MS Gothic" w:hint="eastAsia"/>
                    <w:sz w:val="32"/>
                  </w:rPr>
                  <w:t>☐</w:t>
                </w:r>
              </w:sdtContent>
            </w:sdt>
          </w:p>
        </w:tc>
        <w:tc>
          <w:tcPr>
            <w:tcW w:w="8454" w:type="dxa"/>
          </w:tcPr>
          <w:p w14:paraId="3493FB0B" w14:textId="4262BC4D" w:rsidR="00DB4A81" w:rsidRDefault="009B503C" w:rsidP="009A0735">
            <w:r>
              <w:t>The tender contains all of the informat</w:t>
            </w:r>
            <w:r w:rsidR="00B20AB8">
              <w:t xml:space="preserve">ion listed in Section 2.8 of the </w:t>
            </w:r>
            <w:r w:rsidR="00B20AB8" w:rsidRPr="002668F7">
              <w:rPr>
                <w:b/>
                <w:color w:val="002060"/>
              </w:rPr>
              <w:t>Invitation to Tender</w:t>
            </w:r>
            <w:r w:rsidR="00B20AB8">
              <w:t>.</w:t>
            </w:r>
          </w:p>
        </w:tc>
      </w:tr>
      <w:tr w:rsidR="00DB4A81" w14:paraId="6EC44598" w14:textId="77777777" w:rsidTr="004057B6">
        <w:tc>
          <w:tcPr>
            <w:tcW w:w="562" w:type="dxa"/>
          </w:tcPr>
          <w:p w14:paraId="64AA4F53" w14:textId="77777777" w:rsidR="00DB4A81" w:rsidRDefault="005E3783" w:rsidP="009A0735">
            <w:sdt>
              <w:sdtPr>
                <w:rPr>
                  <w:sz w:val="32"/>
                </w:rPr>
                <w:id w:val="1083031818"/>
                <w14:checkbox>
                  <w14:checked w14:val="0"/>
                  <w14:checkedState w14:val="2612" w14:font="MS Gothic"/>
                  <w14:uncheckedState w14:val="2610" w14:font="MS Gothic"/>
                </w14:checkbox>
              </w:sdtPr>
              <w:sdtEndPr/>
              <w:sdtContent>
                <w:r w:rsidR="00DB4A81" w:rsidRPr="00DE34AC">
                  <w:rPr>
                    <w:rFonts w:ascii="MS Gothic" w:eastAsia="MS Gothic" w:hAnsi="MS Gothic" w:hint="eastAsia"/>
                    <w:sz w:val="32"/>
                  </w:rPr>
                  <w:t>☐</w:t>
                </w:r>
              </w:sdtContent>
            </w:sdt>
          </w:p>
        </w:tc>
        <w:tc>
          <w:tcPr>
            <w:tcW w:w="8454" w:type="dxa"/>
          </w:tcPr>
          <w:p w14:paraId="74B2145E" w14:textId="07C4CC33" w:rsidR="00DB4A81" w:rsidRDefault="00B20AB8" w:rsidP="009A0735">
            <w:r>
              <w:t>The Tenderer is submitting only one (1) tender</w:t>
            </w:r>
            <w:r w:rsidR="00AA180D">
              <w:t>.</w:t>
            </w:r>
          </w:p>
        </w:tc>
      </w:tr>
      <w:tr w:rsidR="009B503C" w14:paraId="61C43AEB" w14:textId="77777777" w:rsidTr="004057B6">
        <w:tc>
          <w:tcPr>
            <w:tcW w:w="562" w:type="dxa"/>
          </w:tcPr>
          <w:p w14:paraId="7AAEC456" w14:textId="77777777" w:rsidR="009B503C" w:rsidRDefault="005E3783" w:rsidP="009B503C">
            <w:sdt>
              <w:sdtPr>
                <w:rPr>
                  <w:sz w:val="32"/>
                </w:rPr>
                <w:id w:val="-128331839"/>
                <w14:checkbox>
                  <w14:checked w14:val="0"/>
                  <w14:checkedState w14:val="2612" w14:font="MS Gothic"/>
                  <w14:uncheckedState w14:val="2610" w14:font="MS Gothic"/>
                </w14:checkbox>
              </w:sdtPr>
              <w:sdtEndPr/>
              <w:sdtContent>
                <w:r w:rsidR="009B503C">
                  <w:rPr>
                    <w:rFonts w:ascii="MS Gothic" w:eastAsia="MS Gothic" w:hAnsi="MS Gothic" w:hint="eastAsia"/>
                    <w:sz w:val="32"/>
                  </w:rPr>
                  <w:t>☐</w:t>
                </w:r>
              </w:sdtContent>
            </w:sdt>
          </w:p>
        </w:tc>
        <w:tc>
          <w:tcPr>
            <w:tcW w:w="8454" w:type="dxa"/>
          </w:tcPr>
          <w:p w14:paraId="1DAF1BA5" w14:textId="68D9DE5E" w:rsidR="009B503C" w:rsidRPr="00DE34AC" w:rsidRDefault="009B503C" w:rsidP="009B503C">
            <w:pPr>
              <w:rPr>
                <w:b/>
              </w:rPr>
            </w:pPr>
            <w:r>
              <w:t>The tender is signed by a person authorised to signed on behalf of the tenderer</w:t>
            </w:r>
            <w:r w:rsidR="00AA180D">
              <w:t>, indicating that the tender is valid through the date set out in Section 2.5</w:t>
            </w:r>
            <w:r w:rsidR="00D71F5D">
              <w:t xml:space="preserve">.3 of the </w:t>
            </w:r>
            <w:r w:rsidR="00D71F5D" w:rsidRPr="002668F7">
              <w:rPr>
                <w:b/>
                <w:color w:val="002060"/>
              </w:rPr>
              <w:t>Invitation to Tender</w:t>
            </w:r>
            <w:r w:rsidR="00D71F5D" w:rsidRPr="00D71F5D">
              <w:t>.</w:t>
            </w:r>
          </w:p>
        </w:tc>
      </w:tr>
      <w:tr w:rsidR="009B503C" w14:paraId="1C70BDA3" w14:textId="77777777" w:rsidTr="004057B6">
        <w:tc>
          <w:tcPr>
            <w:tcW w:w="562" w:type="dxa"/>
          </w:tcPr>
          <w:p w14:paraId="40152921" w14:textId="77777777" w:rsidR="009B503C" w:rsidRDefault="005E3783" w:rsidP="009B503C">
            <w:sdt>
              <w:sdtPr>
                <w:rPr>
                  <w:sz w:val="32"/>
                </w:rPr>
                <w:id w:val="-1952926327"/>
                <w14:checkbox>
                  <w14:checked w14:val="0"/>
                  <w14:checkedState w14:val="2612" w14:font="MS Gothic"/>
                  <w14:uncheckedState w14:val="2610" w14:font="MS Gothic"/>
                </w14:checkbox>
              </w:sdtPr>
              <w:sdtEndPr/>
              <w:sdtContent>
                <w:r w:rsidR="009B503C">
                  <w:rPr>
                    <w:rFonts w:ascii="MS Gothic" w:eastAsia="MS Gothic" w:hAnsi="MS Gothic" w:hint="eastAsia"/>
                    <w:sz w:val="32"/>
                  </w:rPr>
                  <w:t>☐</w:t>
                </w:r>
              </w:sdtContent>
            </w:sdt>
          </w:p>
        </w:tc>
        <w:tc>
          <w:tcPr>
            <w:tcW w:w="8454" w:type="dxa"/>
          </w:tcPr>
          <w:p w14:paraId="06D7B613" w14:textId="3EED8C5C" w:rsidR="009B503C" w:rsidRDefault="009B503C" w:rsidP="009B503C">
            <w:r>
              <w:t xml:space="preserve">The tender must have reached </w:t>
            </w:r>
            <w:r w:rsidR="00C1732E">
              <w:t xml:space="preserve">SIWI no </w:t>
            </w:r>
            <w:r>
              <w:t>later than the date set out in Section 2.5</w:t>
            </w:r>
            <w:r w:rsidR="00C1732E">
              <w:t>.1</w:t>
            </w:r>
            <w:r>
              <w:t xml:space="preserve"> of the </w:t>
            </w:r>
            <w:r w:rsidRPr="002668F7">
              <w:rPr>
                <w:b/>
                <w:color w:val="002060"/>
              </w:rPr>
              <w:t>Invitation to Tender</w:t>
            </w:r>
            <w:r w:rsidR="00D71F5D" w:rsidRPr="00D71F5D">
              <w:t>, at the address indicated in Section 2.5.2.</w:t>
            </w:r>
          </w:p>
        </w:tc>
      </w:tr>
    </w:tbl>
    <w:p w14:paraId="414E02EA" w14:textId="561E3218" w:rsidR="008026BC" w:rsidRPr="00DD3795" w:rsidRDefault="008026BC" w:rsidP="008026BC">
      <w:pPr>
        <w:pStyle w:val="Heading2"/>
      </w:pPr>
      <w:r>
        <w:t xml:space="preserve">Requirements on the </w:t>
      </w:r>
      <w:r w:rsidR="00194601">
        <w:t>Tenderer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8761FA" w14:paraId="41E0652B" w14:textId="77777777" w:rsidTr="004057B6">
        <w:tc>
          <w:tcPr>
            <w:tcW w:w="562" w:type="dxa"/>
          </w:tcPr>
          <w:p w14:paraId="5CA99818" w14:textId="68B5B0ED" w:rsidR="008761FA" w:rsidRPr="00DE34AC" w:rsidRDefault="005E3783" w:rsidP="009A0735">
            <w:pPr>
              <w:rPr>
                <w:sz w:val="32"/>
              </w:rPr>
            </w:pPr>
            <w:sdt>
              <w:sdtPr>
                <w:rPr>
                  <w:sz w:val="32"/>
                </w:rPr>
                <w:id w:val="390165733"/>
                <w14:checkbox>
                  <w14:checked w14:val="0"/>
                  <w14:checkedState w14:val="2612" w14:font="MS Gothic"/>
                  <w14:uncheckedState w14:val="2610" w14:font="MS Gothic"/>
                </w14:checkbox>
              </w:sdtPr>
              <w:sdtEndPr/>
              <w:sdtContent>
                <w:r w:rsidR="008761FA" w:rsidRPr="00DE34AC">
                  <w:rPr>
                    <w:rFonts w:ascii="MS Gothic" w:eastAsia="MS Gothic" w:hAnsi="MS Gothic" w:hint="eastAsia"/>
                    <w:sz w:val="32"/>
                  </w:rPr>
                  <w:t>☐</w:t>
                </w:r>
              </w:sdtContent>
            </w:sdt>
          </w:p>
        </w:tc>
        <w:tc>
          <w:tcPr>
            <w:tcW w:w="8454" w:type="dxa"/>
          </w:tcPr>
          <w:p w14:paraId="713CBB0A" w14:textId="04838093" w:rsidR="008761FA" w:rsidRDefault="008761FA" w:rsidP="009A0735">
            <w:r>
              <w:t>The tender includes a description of the Tenderer.</w:t>
            </w:r>
          </w:p>
        </w:tc>
      </w:tr>
      <w:tr w:rsidR="00FC74A4" w14:paraId="2171ACBA" w14:textId="77777777" w:rsidTr="004057B6">
        <w:tc>
          <w:tcPr>
            <w:tcW w:w="562" w:type="dxa"/>
          </w:tcPr>
          <w:p w14:paraId="239A9467" w14:textId="77777777" w:rsidR="00FC74A4" w:rsidRDefault="005E3783" w:rsidP="009A0735">
            <w:sdt>
              <w:sdtPr>
                <w:rPr>
                  <w:sz w:val="32"/>
                </w:rPr>
                <w:id w:val="-444011594"/>
                <w14:checkbox>
                  <w14:checked w14:val="0"/>
                  <w14:checkedState w14:val="2612" w14:font="MS Gothic"/>
                  <w14:uncheckedState w14:val="2610" w14:font="MS Gothic"/>
                </w14:checkbox>
              </w:sdtPr>
              <w:sdtEndPr/>
              <w:sdtContent>
                <w:r w:rsidR="00FC74A4" w:rsidRPr="00DE34AC">
                  <w:rPr>
                    <w:rFonts w:ascii="MS Gothic" w:eastAsia="MS Gothic" w:hAnsi="MS Gothic" w:hint="eastAsia"/>
                    <w:sz w:val="32"/>
                  </w:rPr>
                  <w:t>☐</w:t>
                </w:r>
              </w:sdtContent>
            </w:sdt>
          </w:p>
        </w:tc>
        <w:tc>
          <w:tcPr>
            <w:tcW w:w="8454" w:type="dxa"/>
          </w:tcPr>
          <w:p w14:paraId="7C3BE94A" w14:textId="34446AF8" w:rsidR="00FC74A4" w:rsidRDefault="00FC74A4" w:rsidP="009A0735">
            <w:r>
              <w:t>If the Tenderer intends to rely on the capacity of other economic operators</w:t>
            </w:r>
            <w:r w:rsidR="00685818">
              <w:t>, the tender must contain</w:t>
            </w:r>
            <w:r w:rsidR="000E6485">
              <w:t xml:space="preserve"> evidence of</w:t>
            </w:r>
            <w:r w:rsidR="00892FAB">
              <w:t xml:space="preserve"> such capacity</w:t>
            </w:r>
            <w:r w:rsidR="00AF4F6E">
              <w:t>, for example</w:t>
            </w:r>
            <w:r w:rsidR="000E6485">
              <w:t>,</w:t>
            </w:r>
            <w:r w:rsidR="00AF4F6E">
              <w:t xml:space="preserve"> documentation proving a clear undertakin</w:t>
            </w:r>
            <w:r w:rsidR="000E6485">
              <w:t>g of those economic operators to place the resources at the Tenderer’s disposal.</w:t>
            </w:r>
          </w:p>
        </w:tc>
      </w:tr>
      <w:tr w:rsidR="00FC74A4" w14:paraId="1EE9B23F" w14:textId="77777777" w:rsidTr="004057B6">
        <w:tc>
          <w:tcPr>
            <w:tcW w:w="562" w:type="dxa"/>
          </w:tcPr>
          <w:p w14:paraId="20FC2454" w14:textId="77777777" w:rsidR="00FC74A4" w:rsidRDefault="005E3783" w:rsidP="009A0735">
            <w:sdt>
              <w:sdtPr>
                <w:rPr>
                  <w:sz w:val="32"/>
                </w:rPr>
                <w:id w:val="130603142"/>
                <w14:checkbox>
                  <w14:checked w14:val="0"/>
                  <w14:checkedState w14:val="2612" w14:font="MS Gothic"/>
                  <w14:uncheckedState w14:val="2610" w14:font="MS Gothic"/>
                </w14:checkbox>
              </w:sdtPr>
              <w:sdtEndPr/>
              <w:sdtContent>
                <w:r w:rsidR="00FC74A4" w:rsidRPr="00DE34AC">
                  <w:rPr>
                    <w:rFonts w:ascii="MS Gothic" w:eastAsia="MS Gothic" w:hAnsi="MS Gothic" w:hint="eastAsia"/>
                    <w:sz w:val="32"/>
                  </w:rPr>
                  <w:t>☐</w:t>
                </w:r>
              </w:sdtContent>
            </w:sdt>
          </w:p>
        </w:tc>
        <w:tc>
          <w:tcPr>
            <w:tcW w:w="8454" w:type="dxa"/>
          </w:tcPr>
          <w:p w14:paraId="040A6C4F" w14:textId="1085F045" w:rsidR="00FC74A4" w:rsidRDefault="00892FAB" w:rsidP="009A0735">
            <w:r>
              <w:t>The tenderer include</w:t>
            </w:r>
            <w:r w:rsidR="00CA5E8A">
              <w:t>s</w:t>
            </w:r>
            <w:r>
              <w:t xml:space="preserve"> the </w:t>
            </w:r>
            <w:r w:rsidR="001E2C2D">
              <w:t>Tenderer’s organisation number and VAT identification number, or equivalent numbers used in the Tenderer’s country of Establishment (</w:t>
            </w:r>
            <w:r w:rsidR="000D42C7">
              <w:t xml:space="preserve">to be included in </w:t>
            </w:r>
            <w:r w:rsidR="001E2C2D" w:rsidRPr="00C3701B">
              <w:rPr>
                <w:b/>
                <w:color w:val="002060"/>
              </w:rPr>
              <w:t>Annex</w:t>
            </w:r>
            <w:r w:rsidR="000D42C7">
              <w:rPr>
                <w:b/>
                <w:color w:val="002060"/>
              </w:rPr>
              <w:t>es</w:t>
            </w:r>
            <w:r w:rsidR="001E2C2D" w:rsidRPr="00C3701B">
              <w:rPr>
                <w:b/>
                <w:color w:val="002060"/>
              </w:rPr>
              <w:t xml:space="preserve"> D</w:t>
            </w:r>
            <w:r w:rsidR="001E2C2D">
              <w:rPr>
                <w:b/>
                <w:color w:val="002060"/>
              </w:rPr>
              <w:t>/E/F</w:t>
            </w:r>
            <w:r w:rsidR="001E2C2D" w:rsidRPr="005A104E">
              <w:t>).</w:t>
            </w:r>
          </w:p>
        </w:tc>
      </w:tr>
      <w:tr w:rsidR="00FC74A4" w14:paraId="195CEC8C" w14:textId="77777777" w:rsidTr="004057B6">
        <w:tc>
          <w:tcPr>
            <w:tcW w:w="562" w:type="dxa"/>
          </w:tcPr>
          <w:p w14:paraId="0667E06D" w14:textId="77777777" w:rsidR="00FC74A4" w:rsidRDefault="005E3783" w:rsidP="009A0735">
            <w:sdt>
              <w:sdtPr>
                <w:rPr>
                  <w:sz w:val="32"/>
                </w:rPr>
                <w:id w:val="58981644"/>
                <w14:checkbox>
                  <w14:checked w14:val="0"/>
                  <w14:checkedState w14:val="2612" w14:font="MS Gothic"/>
                  <w14:uncheckedState w14:val="2610" w14:font="MS Gothic"/>
                </w14:checkbox>
              </w:sdtPr>
              <w:sdtEndPr/>
              <w:sdtContent>
                <w:r w:rsidR="00FC74A4">
                  <w:rPr>
                    <w:rFonts w:ascii="MS Gothic" w:eastAsia="MS Gothic" w:hAnsi="MS Gothic" w:hint="eastAsia"/>
                    <w:sz w:val="32"/>
                  </w:rPr>
                  <w:t>☐</w:t>
                </w:r>
              </w:sdtContent>
            </w:sdt>
          </w:p>
        </w:tc>
        <w:tc>
          <w:tcPr>
            <w:tcW w:w="8454" w:type="dxa"/>
          </w:tcPr>
          <w:p w14:paraId="5A19584A" w14:textId="45E15F4E" w:rsidR="00FC74A4" w:rsidRPr="00DE34AC" w:rsidRDefault="00CA5E8A" w:rsidP="009A0735">
            <w:pPr>
              <w:rPr>
                <w:b/>
              </w:rPr>
            </w:pPr>
            <w:r>
              <w:t>The tenderer includes</w:t>
            </w:r>
            <w:r w:rsidR="00F6088B">
              <w:t xml:space="preserve"> descriptions of at least two </w:t>
            </w:r>
            <w:r w:rsidR="00A64C73">
              <w:t>relevant assignments</w:t>
            </w:r>
            <w:r w:rsidR="001525DC">
              <w:t xml:space="preserve">, including a reference for each </w:t>
            </w:r>
            <w:r w:rsidR="00775DB7">
              <w:t xml:space="preserve">assignment </w:t>
            </w:r>
            <w:r w:rsidR="001525DC">
              <w:t>(</w:t>
            </w:r>
            <w:r w:rsidR="000D42C7">
              <w:t xml:space="preserve">to be included in </w:t>
            </w:r>
            <w:r w:rsidR="001525DC" w:rsidRPr="00C3701B">
              <w:rPr>
                <w:b/>
                <w:color w:val="002060"/>
              </w:rPr>
              <w:t xml:space="preserve">Annex </w:t>
            </w:r>
            <w:r w:rsidR="001525DC">
              <w:rPr>
                <w:b/>
                <w:color w:val="002060"/>
              </w:rPr>
              <w:t>F</w:t>
            </w:r>
            <w:r w:rsidR="001525DC" w:rsidRPr="005A104E">
              <w:t>).</w:t>
            </w:r>
          </w:p>
        </w:tc>
      </w:tr>
      <w:tr w:rsidR="00FC74A4" w14:paraId="0F7D498F" w14:textId="77777777" w:rsidTr="004057B6">
        <w:tc>
          <w:tcPr>
            <w:tcW w:w="562" w:type="dxa"/>
          </w:tcPr>
          <w:p w14:paraId="1CEB6C49" w14:textId="77777777" w:rsidR="00FC74A4" w:rsidRDefault="005E3783" w:rsidP="009A0735">
            <w:sdt>
              <w:sdtPr>
                <w:rPr>
                  <w:sz w:val="32"/>
                </w:rPr>
                <w:id w:val="532314354"/>
                <w14:checkbox>
                  <w14:checked w14:val="0"/>
                  <w14:checkedState w14:val="2612" w14:font="MS Gothic"/>
                  <w14:uncheckedState w14:val="2610" w14:font="MS Gothic"/>
                </w14:checkbox>
              </w:sdtPr>
              <w:sdtEndPr/>
              <w:sdtContent>
                <w:r w:rsidR="00FC74A4">
                  <w:rPr>
                    <w:rFonts w:ascii="MS Gothic" w:eastAsia="MS Gothic" w:hAnsi="MS Gothic" w:hint="eastAsia"/>
                    <w:sz w:val="32"/>
                  </w:rPr>
                  <w:t>☐</w:t>
                </w:r>
              </w:sdtContent>
            </w:sdt>
          </w:p>
        </w:tc>
        <w:tc>
          <w:tcPr>
            <w:tcW w:w="8454" w:type="dxa"/>
          </w:tcPr>
          <w:p w14:paraId="0EA5F38E" w14:textId="2B22060A" w:rsidR="00FC74A4" w:rsidRDefault="00125316" w:rsidP="009A0735">
            <w:r>
              <w:t>The tender include</w:t>
            </w:r>
            <w:r w:rsidR="00E44B6C">
              <w:t>s</w:t>
            </w:r>
            <w:r w:rsidR="00483A6A">
              <w:t xml:space="preserve"> </w:t>
            </w:r>
            <w:r w:rsidR="00E44B6C">
              <w:t>information about</w:t>
            </w:r>
            <w:r w:rsidR="00483A6A">
              <w:t xml:space="preserve"> </w:t>
            </w:r>
            <w:r w:rsidR="00AC4EF8">
              <w:t xml:space="preserve">the quality management system </w:t>
            </w:r>
            <w:r w:rsidR="00DB783B">
              <w:t>applied by the Tenderer.</w:t>
            </w:r>
          </w:p>
        </w:tc>
      </w:tr>
      <w:tr w:rsidR="00125316" w14:paraId="160C330F" w14:textId="77777777" w:rsidTr="004057B6">
        <w:tc>
          <w:tcPr>
            <w:tcW w:w="562" w:type="dxa"/>
          </w:tcPr>
          <w:p w14:paraId="727FE0A9" w14:textId="5651E47E" w:rsidR="00125316" w:rsidRPr="00DE34AC" w:rsidRDefault="005E3783" w:rsidP="009A0735">
            <w:pPr>
              <w:rPr>
                <w:sz w:val="32"/>
              </w:rPr>
            </w:pPr>
            <w:sdt>
              <w:sdtPr>
                <w:rPr>
                  <w:sz w:val="32"/>
                </w:rPr>
                <w:id w:val="255562575"/>
                <w14:checkbox>
                  <w14:checked w14:val="0"/>
                  <w14:checkedState w14:val="2612" w14:font="MS Gothic"/>
                  <w14:uncheckedState w14:val="2610" w14:font="MS Gothic"/>
                </w14:checkbox>
              </w:sdtPr>
              <w:sdtEndPr/>
              <w:sdtContent>
                <w:r w:rsidR="005A104E">
                  <w:rPr>
                    <w:rFonts w:ascii="MS Gothic" w:eastAsia="MS Gothic" w:hAnsi="MS Gothic" w:hint="eastAsia"/>
                    <w:sz w:val="32"/>
                  </w:rPr>
                  <w:t>☐</w:t>
                </w:r>
              </w:sdtContent>
            </w:sdt>
          </w:p>
        </w:tc>
        <w:tc>
          <w:tcPr>
            <w:tcW w:w="8454" w:type="dxa"/>
          </w:tcPr>
          <w:p w14:paraId="2EDAAC2E" w14:textId="65B33518" w:rsidR="00125316" w:rsidRDefault="00714EF9" w:rsidP="009A0735">
            <w:r>
              <w:t>The tender include</w:t>
            </w:r>
            <w:r w:rsidR="00E44B6C">
              <w:t>s</w:t>
            </w:r>
            <w:r>
              <w:t xml:space="preserve"> </w:t>
            </w:r>
            <w:r w:rsidR="00E44B6C">
              <w:t xml:space="preserve">information about </w:t>
            </w:r>
            <w:r>
              <w:t>the environmental management system applied by the Tenderer</w:t>
            </w:r>
            <w:r w:rsidR="008D6E56">
              <w:t xml:space="preserve">, or, if the Tenderer does not have such a system, the </w:t>
            </w:r>
            <w:r w:rsidR="004C3700">
              <w:t xml:space="preserve">internal routines for </w:t>
            </w:r>
            <w:r w:rsidR="005A104E">
              <w:t>sustainability.</w:t>
            </w:r>
          </w:p>
        </w:tc>
      </w:tr>
    </w:tbl>
    <w:p w14:paraId="5E8371A3" w14:textId="644C5D85" w:rsidR="00DD3795" w:rsidRPr="00DD3795" w:rsidRDefault="008026BC" w:rsidP="00DD3795">
      <w:pPr>
        <w:pStyle w:val="Heading2"/>
      </w:pPr>
      <w:r>
        <w:lastRenderedPageBreak/>
        <w:t>Requirements on the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684323" w14:paraId="2438BB89" w14:textId="77777777" w:rsidTr="004057B6">
        <w:tc>
          <w:tcPr>
            <w:tcW w:w="562" w:type="dxa"/>
          </w:tcPr>
          <w:p w14:paraId="5824F0A7" w14:textId="72C053ED" w:rsidR="00684323" w:rsidRDefault="005E3783" w:rsidP="00E164EE">
            <w:sdt>
              <w:sdtPr>
                <w:rPr>
                  <w:sz w:val="32"/>
                </w:rPr>
                <w:id w:val="-201797248"/>
                <w14:checkbox>
                  <w14:checked w14:val="0"/>
                  <w14:checkedState w14:val="2612" w14:font="MS Gothic"/>
                  <w14:uncheckedState w14:val="2610" w14:font="MS Gothic"/>
                </w14:checkbox>
              </w:sdtPr>
              <w:sdtEndPr/>
              <w:sdtContent>
                <w:r w:rsidR="00684323" w:rsidRPr="00DE34AC">
                  <w:rPr>
                    <w:rFonts w:ascii="MS Gothic" w:eastAsia="MS Gothic" w:hAnsi="MS Gothic" w:hint="eastAsia"/>
                    <w:sz w:val="32"/>
                  </w:rPr>
                  <w:t>☐</w:t>
                </w:r>
              </w:sdtContent>
            </w:sdt>
          </w:p>
        </w:tc>
        <w:tc>
          <w:tcPr>
            <w:tcW w:w="8454" w:type="dxa"/>
          </w:tcPr>
          <w:p w14:paraId="1C3123D7" w14:textId="73CB1014" w:rsidR="00684323" w:rsidRDefault="00684323" w:rsidP="00E164EE">
            <w:r>
              <w:t>The tender includes a description of the methodology the T</w:t>
            </w:r>
            <w:r w:rsidRPr="00EA3D73">
              <w:t xml:space="preserve">enderer intends to use to carry out </w:t>
            </w:r>
            <w:r>
              <w:t>financial audits</w:t>
            </w:r>
          </w:p>
        </w:tc>
      </w:tr>
      <w:tr w:rsidR="00684323" w14:paraId="11602409" w14:textId="77777777" w:rsidTr="004057B6">
        <w:tc>
          <w:tcPr>
            <w:tcW w:w="562" w:type="dxa"/>
          </w:tcPr>
          <w:p w14:paraId="2F7F34BD" w14:textId="66C428D2" w:rsidR="00684323" w:rsidRDefault="005E3783" w:rsidP="00E164EE">
            <w:sdt>
              <w:sdtPr>
                <w:rPr>
                  <w:sz w:val="32"/>
                </w:rPr>
                <w:id w:val="14199487"/>
                <w14:checkbox>
                  <w14:checked w14:val="0"/>
                  <w14:checkedState w14:val="2612" w14:font="MS Gothic"/>
                  <w14:uncheckedState w14:val="2610" w14:font="MS Gothic"/>
                </w14:checkbox>
              </w:sdtPr>
              <w:sdtEndPr/>
              <w:sdtContent>
                <w:r w:rsidR="00DE34AC" w:rsidRPr="00DE34AC">
                  <w:rPr>
                    <w:rFonts w:ascii="MS Gothic" w:eastAsia="MS Gothic" w:hAnsi="MS Gothic" w:hint="eastAsia"/>
                    <w:sz w:val="32"/>
                  </w:rPr>
                  <w:t>☐</w:t>
                </w:r>
              </w:sdtContent>
            </w:sdt>
          </w:p>
        </w:tc>
        <w:tc>
          <w:tcPr>
            <w:tcW w:w="8454" w:type="dxa"/>
          </w:tcPr>
          <w:p w14:paraId="3E16F274" w14:textId="27F292C7" w:rsidR="00684323" w:rsidRDefault="007B4E33" w:rsidP="00E164EE">
            <w:r>
              <w:t xml:space="preserve">The tender </w:t>
            </w:r>
            <w:r w:rsidRPr="00EA3D73">
              <w:t>include</w:t>
            </w:r>
            <w:r>
              <w:t xml:space="preserve">s </w:t>
            </w:r>
            <w:r w:rsidRPr="00EA3D73">
              <w:t xml:space="preserve">a description of how the performance of </w:t>
            </w:r>
            <w:r>
              <w:t>financial audits</w:t>
            </w:r>
            <w:r w:rsidRPr="00EA3D73">
              <w:t xml:space="preserve"> will be organised</w:t>
            </w:r>
            <w:r>
              <w:t xml:space="preserve"> and staffed</w:t>
            </w:r>
            <w:r w:rsidRPr="00EA3D73">
              <w:t>.</w:t>
            </w:r>
          </w:p>
        </w:tc>
      </w:tr>
      <w:tr w:rsidR="00DE34AC" w14:paraId="28AF2F96" w14:textId="77777777" w:rsidTr="004057B6">
        <w:tc>
          <w:tcPr>
            <w:tcW w:w="562" w:type="dxa"/>
          </w:tcPr>
          <w:p w14:paraId="431A23E9" w14:textId="69A705AA" w:rsidR="00DE34AC" w:rsidRDefault="005E3783" w:rsidP="00E164EE">
            <w:sdt>
              <w:sdtPr>
                <w:rPr>
                  <w:sz w:val="32"/>
                </w:rPr>
                <w:id w:val="482203168"/>
                <w14:checkbox>
                  <w14:checked w14:val="0"/>
                  <w14:checkedState w14:val="2612" w14:font="MS Gothic"/>
                  <w14:uncheckedState w14:val="2610" w14:font="MS Gothic"/>
                </w14:checkbox>
              </w:sdtPr>
              <w:sdtEndPr/>
              <w:sdtContent>
                <w:r w:rsidR="005A5FDB">
                  <w:rPr>
                    <w:rFonts w:ascii="MS Gothic" w:eastAsia="MS Gothic" w:hAnsi="MS Gothic" w:hint="eastAsia"/>
                    <w:sz w:val="32"/>
                  </w:rPr>
                  <w:t>☐</w:t>
                </w:r>
              </w:sdtContent>
            </w:sdt>
          </w:p>
        </w:tc>
        <w:tc>
          <w:tcPr>
            <w:tcW w:w="8454" w:type="dxa"/>
          </w:tcPr>
          <w:p w14:paraId="5CE06C7F" w14:textId="5FA647D1" w:rsidR="00DE34AC" w:rsidRPr="00DE34AC" w:rsidRDefault="00DE34AC" w:rsidP="00E164EE">
            <w:pPr>
              <w:rPr>
                <w:b/>
              </w:rPr>
            </w:pPr>
            <w:r>
              <w:t xml:space="preserve">The tender includes </w:t>
            </w:r>
            <w:r w:rsidR="00A040FD">
              <w:t xml:space="preserve">information about </w:t>
            </w:r>
            <w:r>
              <w:t>the availability</w:t>
            </w:r>
            <w:r w:rsidR="00A040FD">
              <w:t xml:space="preserve"> of the Tenderer</w:t>
            </w:r>
            <w:r>
              <w:t xml:space="preserve">, i.e. time needed </w:t>
            </w:r>
            <w:r w:rsidR="00A040FD">
              <w:t xml:space="preserve">by the Tenderer </w:t>
            </w:r>
            <w:r>
              <w:t>for preparation before a financial audit assignment under the framework agreement can be commenced.</w:t>
            </w:r>
          </w:p>
        </w:tc>
      </w:tr>
      <w:tr w:rsidR="00DE34AC" w14:paraId="70C13B53" w14:textId="77777777" w:rsidTr="004057B6">
        <w:tc>
          <w:tcPr>
            <w:tcW w:w="562" w:type="dxa"/>
          </w:tcPr>
          <w:p w14:paraId="2F87CA94" w14:textId="18177F20" w:rsidR="00DE34AC" w:rsidRDefault="005E3783" w:rsidP="00E164EE">
            <w:sdt>
              <w:sdtPr>
                <w:rPr>
                  <w:sz w:val="32"/>
                </w:rPr>
                <w:id w:val="1386450679"/>
                <w14:checkbox>
                  <w14:checked w14:val="0"/>
                  <w14:checkedState w14:val="2612" w14:font="MS Gothic"/>
                  <w14:uncheckedState w14:val="2610" w14:font="MS Gothic"/>
                </w14:checkbox>
              </w:sdtPr>
              <w:sdtEndPr/>
              <w:sdtContent>
                <w:r w:rsidR="00B728DB">
                  <w:rPr>
                    <w:rFonts w:ascii="MS Gothic" w:eastAsia="MS Gothic" w:hAnsi="MS Gothic" w:hint="eastAsia"/>
                    <w:sz w:val="32"/>
                  </w:rPr>
                  <w:t>☐</w:t>
                </w:r>
              </w:sdtContent>
            </w:sdt>
          </w:p>
        </w:tc>
        <w:tc>
          <w:tcPr>
            <w:tcW w:w="8454" w:type="dxa"/>
          </w:tcPr>
          <w:p w14:paraId="0773639D" w14:textId="18991140" w:rsidR="00DE34AC" w:rsidRDefault="005A5FDB" w:rsidP="00E164EE">
            <w:r>
              <w:t xml:space="preserve">The tender includes information about </w:t>
            </w:r>
            <w:r w:rsidR="007237E0">
              <w:t xml:space="preserve">the required number of </w:t>
            </w:r>
            <w:r>
              <w:t>consultants for each of the three levels, with a CV for each consultant offered.</w:t>
            </w:r>
            <w:r w:rsidR="003B1306">
              <w:t xml:space="preserve"> (</w:t>
            </w:r>
            <w:r w:rsidR="000D42C7">
              <w:t xml:space="preserve">to be included in </w:t>
            </w:r>
            <w:r w:rsidR="00B72716" w:rsidRPr="00C3701B">
              <w:rPr>
                <w:b/>
                <w:color w:val="002060"/>
              </w:rPr>
              <w:t>Annex D: Consultants and Fees</w:t>
            </w:r>
            <w:r w:rsidR="003B1306">
              <w:t>)</w:t>
            </w:r>
          </w:p>
        </w:tc>
      </w:tr>
      <w:tr w:rsidR="00DE34AC" w14:paraId="1A3D8C3B" w14:textId="77777777" w:rsidTr="004057B6">
        <w:tc>
          <w:tcPr>
            <w:tcW w:w="562" w:type="dxa"/>
          </w:tcPr>
          <w:p w14:paraId="1BAA7598" w14:textId="79895EEC" w:rsidR="00DE34AC" w:rsidRDefault="005E3783" w:rsidP="00E164EE">
            <w:sdt>
              <w:sdtPr>
                <w:rPr>
                  <w:sz w:val="32"/>
                </w:rPr>
                <w:id w:val="-631325791"/>
                <w14:checkbox>
                  <w14:checked w14:val="0"/>
                  <w14:checkedState w14:val="2612" w14:font="MS Gothic"/>
                  <w14:uncheckedState w14:val="2610" w14:font="MS Gothic"/>
                </w14:checkbox>
              </w:sdtPr>
              <w:sdtEndPr/>
              <w:sdtContent>
                <w:r w:rsidR="00B728DB">
                  <w:rPr>
                    <w:rFonts w:ascii="MS Gothic" w:eastAsia="MS Gothic" w:hAnsi="MS Gothic" w:hint="eastAsia"/>
                    <w:sz w:val="32"/>
                  </w:rPr>
                  <w:t>☐</w:t>
                </w:r>
              </w:sdtContent>
            </w:sdt>
          </w:p>
        </w:tc>
        <w:tc>
          <w:tcPr>
            <w:tcW w:w="8454" w:type="dxa"/>
          </w:tcPr>
          <w:p w14:paraId="756E0EE0" w14:textId="0E5F616C" w:rsidR="00DE34AC" w:rsidRDefault="00B728DB" w:rsidP="00E164EE">
            <w:r>
              <w:t>The tender includes the hourly fee</w:t>
            </w:r>
            <w:r w:rsidR="000219D4">
              <w:t>, in SEK exclusive of VAT,</w:t>
            </w:r>
            <w:r w:rsidR="005A5A57">
              <w:t xml:space="preserve"> for each of the t</w:t>
            </w:r>
            <w:r w:rsidR="00B72716">
              <w:t>h</w:t>
            </w:r>
            <w:r w:rsidR="005A5A57">
              <w:t>ree level</w:t>
            </w:r>
            <w:r w:rsidR="00B72716">
              <w:t>s of consultants</w:t>
            </w:r>
            <w:r w:rsidR="005A5A57">
              <w:t xml:space="preserve"> </w:t>
            </w:r>
            <w:r w:rsidR="00B72716">
              <w:t>(</w:t>
            </w:r>
            <w:r w:rsidR="000D42C7">
              <w:t xml:space="preserve">to be included in </w:t>
            </w:r>
            <w:r w:rsidR="00B72716" w:rsidRPr="00C3701B">
              <w:rPr>
                <w:b/>
                <w:color w:val="002060"/>
              </w:rPr>
              <w:t>Annex D: Consultants and Fees</w:t>
            </w:r>
            <w:r w:rsidR="00B72716">
              <w:t>)</w:t>
            </w:r>
            <w:r w:rsidR="000219D4">
              <w:t>.</w:t>
            </w:r>
          </w:p>
        </w:tc>
      </w:tr>
    </w:tbl>
    <w:p w14:paraId="6AF10DE9" w14:textId="77777777" w:rsidR="008F4FE7" w:rsidRPr="00E164EE" w:rsidRDefault="008F4FE7" w:rsidP="00E164EE"/>
    <w:p w14:paraId="7703561A" w14:textId="4DFCE64C" w:rsidR="00907279" w:rsidRDefault="00907279" w:rsidP="00E4677C">
      <w:pPr>
        <w:spacing w:after="160" w:line="259" w:lineRule="auto"/>
      </w:pPr>
    </w:p>
    <w:sectPr w:rsidR="00907279" w:rsidSect="004B43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AC52" w14:textId="77777777" w:rsidR="00CF1AC1" w:rsidRDefault="00CF1AC1" w:rsidP="004B4394">
      <w:pPr>
        <w:spacing w:after="0"/>
      </w:pPr>
      <w:r>
        <w:separator/>
      </w:r>
    </w:p>
  </w:endnote>
  <w:endnote w:type="continuationSeparator" w:id="0">
    <w:p w14:paraId="12BFE2DB" w14:textId="77777777" w:rsidR="00CF1AC1" w:rsidRDefault="00CF1AC1" w:rsidP="004B4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5259" w14:textId="77777777" w:rsidR="0090661B" w:rsidRDefault="00906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A84A" w14:textId="18415B77" w:rsidR="00D920F7" w:rsidRDefault="00D920F7">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183" w14:textId="434D39AF" w:rsidR="00D920F7" w:rsidRDefault="00D920F7">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F275" w14:textId="77777777" w:rsidR="00CF1AC1" w:rsidRDefault="00CF1AC1" w:rsidP="004B4394">
      <w:pPr>
        <w:spacing w:after="0"/>
      </w:pPr>
      <w:r>
        <w:separator/>
      </w:r>
    </w:p>
  </w:footnote>
  <w:footnote w:type="continuationSeparator" w:id="0">
    <w:p w14:paraId="647E9022" w14:textId="77777777" w:rsidR="00CF1AC1" w:rsidRDefault="00CF1AC1" w:rsidP="004B43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E5E3" w14:textId="77777777" w:rsidR="0090661B" w:rsidRDefault="0090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31DB" w14:textId="0A6B7325" w:rsidR="004B4394" w:rsidRDefault="0090661B" w:rsidP="005476AF">
    <w:pPr>
      <w:pStyle w:val="Header"/>
      <w:jc w:val="left"/>
    </w:pPr>
    <w:sdt>
      <w:sdtPr>
        <w:id w:val="-1321497110"/>
        <w:placeholder>
          <w:docPart w:val="95314DFFE84B45758F7929EF88B91F36"/>
        </w:placeholder>
      </w:sdtPr>
      <w:sdtContent>
        <w:r w:rsidRPr="003873E6">
          <w:t>10-</w:t>
        </w:r>
        <w:r>
          <w:t>10200</w:t>
        </w:r>
        <w:r w:rsidRPr="003873E6">
          <w:t>/180920</w:t>
        </w:r>
      </w:sdtContent>
    </w:sdt>
    <w:bookmarkStart w:id="0" w:name="_GoBack"/>
    <w:bookmarkEnd w:id="0"/>
    <w:r w:rsidR="005476AF">
      <w:tab/>
    </w:r>
    <w:r w:rsidR="00D920F7">
      <w:tab/>
      <w:t xml:space="preserve">Annex </w:t>
    </w:r>
    <w:r w:rsidR="003D7DE1">
      <w:t>G</w:t>
    </w:r>
    <w:r w:rsidR="00D920F7">
      <w:t xml:space="preserve">: </w:t>
    </w:r>
    <w:r w:rsidR="003D7DE1">
      <w:t>Checklist</w:t>
    </w:r>
    <w:r w:rsidR="004B43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C319" w14:textId="05E38239" w:rsidR="004B4394" w:rsidRDefault="004B4394" w:rsidP="004B4394">
    <w:pPr>
      <w:pStyle w:val="Header"/>
    </w:pPr>
    <w:r>
      <w:rPr>
        <w:noProof/>
        <w:lang w:val="sv-SE"/>
      </w:rPr>
      <w:drawing>
        <wp:anchor distT="0" distB="0" distL="114300" distR="114300" simplePos="0" relativeHeight="251661312" behindDoc="0" locked="0" layoutInCell="1" allowOverlap="1" wp14:anchorId="15275869" wp14:editId="21777A0E">
          <wp:simplePos x="0" y="0"/>
          <wp:positionH relativeFrom="column">
            <wp:posOffset>5319015</wp:posOffset>
          </wp:positionH>
          <wp:positionV relativeFrom="paragraph">
            <wp:posOffset>18241</wp:posOffset>
          </wp:positionV>
          <wp:extent cx="1091565" cy="673735"/>
          <wp:effectExtent l="0" t="0" r="0" b="0"/>
          <wp:wrapNone/>
          <wp:docPr id="1" name="Picture 1"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56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D51B9" w14:textId="77777777" w:rsidR="004B4394" w:rsidRDefault="004B4394" w:rsidP="004B4394">
    <w:pPr>
      <w:pStyle w:val="Header"/>
    </w:pPr>
  </w:p>
  <w:p w14:paraId="79851685" w14:textId="77777777" w:rsidR="004B4394" w:rsidRDefault="004B4394" w:rsidP="004B4394">
    <w:pPr>
      <w:pStyle w:val="Header"/>
    </w:pPr>
  </w:p>
  <w:p w14:paraId="1758995F" w14:textId="617F064F" w:rsidR="004B4394" w:rsidRDefault="004B4394" w:rsidP="00D920F7">
    <w:pPr>
      <w:pStyle w:val="Header"/>
      <w:jc w:val="left"/>
    </w:pP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038"/>
    <w:multiLevelType w:val="hybridMultilevel"/>
    <w:tmpl w:val="DDD82DE0"/>
    <w:lvl w:ilvl="0" w:tplc="ECFAEE88">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DC87457"/>
    <w:multiLevelType w:val="multilevel"/>
    <w:tmpl w:val="64D80828"/>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2411"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7AF6480"/>
    <w:multiLevelType w:val="hybridMultilevel"/>
    <w:tmpl w:val="9802021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4D95413"/>
    <w:multiLevelType w:val="hybridMultilevel"/>
    <w:tmpl w:val="52FCFF76"/>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94"/>
    <w:rsid w:val="000015CC"/>
    <w:rsid w:val="00010F4C"/>
    <w:rsid w:val="0002183B"/>
    <w:rsid w:val="000219D4"/>
    <w:rsid w:val="00064B5D"/>
    <w:rsid w:val="00067F27"/>
    <w:rsid w:val="000D42C7"/>
    <w:rsid w:val="000E6046"/>
    <w:rsid w:val="000E6485"/>
    <w:rsid w:val="000F34F5"/>
    <w:rsid w:val="0011440C"/>
    <w:rsid w:val="00121515"/>
    <w:rsid w:val="00125316"/>
    <w:rsid w:val="00125933"/>
    <w:rsid w:val="00134784"/>
    <w:rsid w:val="00145A4C"/>
    <w:rsid w:val="00150AE3"/>
    <w:rsid w:val="001525DC"/>
    <w:rsid w:val="00182CBA"/>
    <w:rsid w:val="00194601"/>
    <w:rsid w:val="001A372B"/>
    <w:rsid w:val="001A5A9C"/>
    <w:rsid w:val="001C190C"/>
    <w:rsid w:val="001C74DD"/>
    <w:rsid w:val="001E2C2D"/>
    <w:rsid w:val="001F16DC"/>
    <w:rsid w:val="00251D30"/>
    <w:rsid w:val="0026290A"/>
    <w:rsid w:val="002918D6"/>
    <w:rsid w:val="002B6C3A"/>
    <w:rsid w:val="002E7CC8"/>
    <w:rsid w:val="003356FC"/>
    <w:rsid w:val="003607F2"/>
    <w:rsid w:val="003B1306"/>
    <w:rsid w:val="003B4121"/>
    <w:rsid w:val="003D3F8B"/>
    <w:rsid w:val="003D7DE1"/>
    <w:rsid w:val="004057B6"/>
    <w:rsid w:val="00431D78"/>
    <w:rsid w:val="00436095"/>
    <w:rsid w:val="004741B1"/>
    <w:rsid w:val="004770DF"/>
    <w:rsid w:val="00480291"/>
    <w:rsid w:val="00480C3F"/>
    <w:rsid w:val="00483A6A"/>
    <w:rsid w:val="004A4A79"/>
    <w:rsid w:val="004B4394"/>
    <w:rsid w:val="004C3700"/>
    <w:rsid w:val="004C46B4"/>
    <w:rsid w:val="004E3175"/>
    <w:rsid w:val="004F6BFE"/>
    <w:rsid w:val="005162D2"/>
    <w:rsid w:val="005323EF"/>
    <w:rsid w:val="005476AF"/>
    <w:rsid w:val="00586092"/>
    <w:rsid w:val="005A104E"/>
    <w:rsid w:val="005A5A57"/>
    <w:rsid w:val="005A5FDB"/>
    <w:rsid w:val="005E103F"/>
    <w:rsid w:val="00615EF1"/>
    <w:rsid w:val="00616F56"/>
    <w:rsid w:val="0063421A"/>
    <w:rsid w:val="00647039"/>
    <w:rsid w:val="006618AC"/>
    <w:rsid w:val="00684323"/>
    <w:rsid w:val="00685818"/>
    <w:rsid w:val="0070160B"/>
    <w:rsid w:val="00706DE5"/>
    <w:rsid w:val="00714EF9"/>
    <w:rsid w:val="00722453"/>
    <w:rsid w:val="007237E0"/>
    <w:rsid w:val="0072637E"/>
    <w:rsid w:val="00730E6D"/>
    <w:rsid w:val="00745B25"/>
    <w:rsid w:val="00775DB7"/>
    <w:rsid w:val="007A7910"/>
    <w:rsid w:val="007B4E33"/>
    <w:rsid w:val="007D2F33"/>
    <w:rsid w:val="007D31E8"/>
    <w:rsid w:val="007E1C70"/>
    <w:rsid w:val="008026BC"/>
    <w:rsid w:val="008128AD"/>
    <w:rsid w:val="008141F7"/>
    <w:rsid w:val="00815CBB"/>
    <w:rsid w:val="008473CE"/>
    <w:rsid w:val="008761FA"/>
    <w:rsid w:val="00892FAB"/>
    <w:rsid w:val="008A4075"/>
    <w:rsid w:val="008D0A43"/>
    <w:rsid w:val="008D6E56"/>
    <w:rsid w:val="008E0810"/>
    <w:rsid w:val="008E6530"/>
    <w:rsid w:val="008F4FE7"/>
    <w:rsid w:val="00903D04"/>
    <w:rsid w:val="0090661B"/>
    <w:rsid w:val="00907279"/>
    <w:rsid w:val="009128B3"/>
    <w:rsid w:val="00942C89"/>
    <w:rsid w:val="00950658"/>
    <w:rsid w:val="0096034B"/>
    <w:rsid w:val="00983740"/>
    <w:rsid w:val="00992280"/>
    <w:rsid w:val="0099540F"/>
    <w:rsid w:val="009A436A"/>
    <w:rsid w:val="009A4689"/>
    <w:rsid w:val="009A58BD"/>
    <w:rsid w:val="009B503C"/>
    <w:rsid w:val="009C3CC9"/>
    <w:rsid w:val="00A040FD"/>
    <w:rsid w:val="00A14A98"/>
    <w:rsid w:val="00A42C06"/>
    <w:rsid w:val="00A64C73"/>
    <w:rsid w:val="00AA07A3"/>
    <w:rsid w:val="00AA180D"/>
    <w:rsid w:val="00AA7312"/>
    <w:rsid w:val="00AC4EF8"/>
    <w:rsid w:val="00AF1B65"/>
    <w:rsid w:val="00AF27CC"/>
    <w:rsid w:val="00AF4F6E"/>
    <w:rsid w:val="00B20AB8"/>
    <w:rsid w:val="00B27B27"/>
    <w:rsid w:val="00B42787"/>
    <w:rsid w:val="00B56859"/>
    <w:rsid w:val="00B64245"/>
    <w:rsid w:val="00B72716"/>
    <w:rsid w:val="00B728DB"/>
    <w:rsid w:val="00B97D62"/>
    <w:rsid w:val="00BA242C"/>
    <w:rsid w:val="00BB33EB"/>
    <w:rsid w:val="00BF5D4B"/>
    <w:rsid w:val="00C1732E"/>
    <w:rsid w:val="00C47A9C"/>
    <w:rsid w:val="00C85F21"/>
    <w:rsid w:val="00C9287B"/>
    <w:rsid w:val="00C95E61"/>
    <w:rsid w:val="00CA5E8A"/>
    <w:rsid w:val="00CE243A"/>
    <w:rsid w:val="00CF1AC1"/>
    <w:rsid w:val="00D30E9F"/>
    <w:rsid w:val="00D711E7"/>
    <w:rsid w:val="00D71F5D"/>
    <w:rsid w:val="00D87948"/>
    <w:rsid w:val="00D91031"/>
    <w:rsid w:val="00D920F7"/>
    <w:rsid w:val="00DA267C"/>
    <w:rsid w:val="00DB4A81"/>
    <w:rsid w:val="00DB4F16"/>
    <w:rsid w:val="00DB783B"/>
    <w:rsid w:val="00DC0728"/>
    <w:rsid w:val="00DD3795"/>
    <w:rsid w:val="00DE34AC"/>
    <w:rsid w:val="00E118EE"/>
    <w:rsid w:val="00E164EE"/>
    <w:rsid w:val="00E210C5"/>
    <w:rsid w:val="00E37717"/>
    <w:rsid w:val="00E4305A"/>
    <w:rsid w:val="00E44B6C"/>
    <w:rsid w:val="00E4677C"/>
    <w:rsid w:val="00E55A44"/>
    <w:rsid w:val="00EA6329"/>
    <w:rsid w:val="00ED2F5F"/>
    <w:rsid w:val="00EE13DE"/>
    <w:rsid w:val="00F557A8"/>
    <w:rsid w:val="00F6088B"/>
    <w:rsid w:val="00F6561A"/>
    <w:rsid w:val="00F811CE"/>
    <w:rsid w:val="00F951C2"/>
    <w:rsid w:val="00FC52AC"/>
    <w:rsid w:val="00FC74A4"/>
    <w:rsid w:val="00FE2293"/>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9FEA6"/>
  <w15:chartTrackingRefBased/>
  <w15:docId w15:val="{DCFCCCE9-4D60-4736-8010-CA00F4C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394"/>
    <w:pPr>
      <w:spacing w:after="240" w:line="240" w:lineRule="auto"/>
      <w:jc w:val="both"/>
    </w:pPr>
    <w:rPr>
      <w:rFonts w:eastAsia="Times New Roman" w:cs="Times New Roman"/>
      <w:szCs w:val="20"/>
      <w:lang w:val="en-GB" w:eastAsia="sv-SE"/>
    </w:rPr>
  </w:style>
  <w:style w:type="paragraph" w:styleId="Heading1">
    <w:name w:val="heading 1"/>
    <w:basedOn w:val="Normal"/>
    <w:next w:val="Normal"/>
    <w:link w:val="Heading1Char"/>
    <w:uiPriority w:val="9"/>
    <w:qFormat/>
    <w:rsid w:val="004B4394"/>
    <w:pPr>
      <w:keepNext/>
      <w:keepLines/>
      <w:numPr>
        <w:numId w:val="1"/>
      </w:numPr>
      <w:spacing w:after="120"/>
      <w:ind w:left="709" w:hanging="709"/>
      <w:outlineLvl w:val="0"/>
    </w:pPr>
    <w:rPr>
      <w:rFonts w:ascii="Calibri Light" w:eastAsiaTheme="majorEastAsia" w:hAnsi="Calibri Light" w:cstheme="majorBidi"/>
      <w:sz w:val="36"/>
      <w:szCs w:val="32"/>
      <w:lang w:val="en-US"/>
    </w:rPr>
  </w:style>
  <w:style w:type="paragraph" w:styleId="Heading2">
    <w:name w:val="heading 2"/>
    <w:basedOn w:val="Normal"/>
    <w:next w:val="Normal"/>
    <w:link w:val="Heading2Char"/>
    <w:uiPriority w:val="9"/>
    <w:unhideWhenUsed/>
    <w:qFormat/>
    <w:rsid w:val="000E6046"/>
    <w:pPr>
      <w:keepNext/>
      <w:keepLines/>
      <w:widowControl w:val="0"/>
      <w:numPr>
        <w:ilvl w:val="1"/>
        <w:numId w:val="1"/>
      </w:numPr>
      <w:shd w:val="clear" w:color="auto" w:fill="DEEAF6" w:themeFill="accent5" w:themeFillTint="33"/>
      <w:spacing w:before="160" w:after="120"/>
      <w:ind w:left="709" w:hanging="709"/>
      <w:outlineLvl w:val="1"/>
    </w:pPr>
    <w:rPr>
      <w:rFonts w:ascii="Calibri Light" w:eastAsiaTheme="majorEastAsia" w:hAnsi="Calibri Light" w:cstheme="majorBidi"/>
      <w:snapToGrid w:val="0"/>
      <w:sz w:val="32"/>
      <w:szCs w:val="26"/>
    </w:rPr>
  </w:style>
  <w:style w:type="paragraph" w:styleId="Heading3">
    <w:name w:val="heading 3"/>
    <w:basedOn w:val="Normal"/>
    <w:next w:val="Normal"/>
    <w:link w:val="Heading3Char"/>
    <w:uiPriority w:val="9"/>
    <w:unhideWhenUsed/>
    <w:qFormat/>
    <w:rsid w:val="004B4394"/>
    <w:pPr>
      <w:keepNext/>
      <w:keepLines/>
      <w:numPr>
        <w:ilvl w:val="2"/>
        <w:numId w:val="1"/>
      </w:numPr>
      <w:shd w:val="clear" w:color="auto" w:fill="D9E2F3" w:themeFill="accent1" w:themeFillTint="33"/>
      <w:spacing w:before="40" w:after="120"/>
      <w:ind w:left="709" w:hanging="709"/>
      <w:outlineLvl w:val="2"/>
    </w:pPr>
    <w:rPr>
      <w:rFonts w:ascii="Calibri Light" w:eastAsiaTheme="majorEastAsia" w:hAnsi="Calibri Light" w:cstheme="majorBidi"/>
      <w:sz w:val="28"/>
    </w:rPr>
  </w:style>
  <w:style w:type="paragraph" w:styleId="Heading4">
    <w:name w:val="heading 4"/>
    <w:basedOn w:val="Normal"/>
    <w:next w:val="Normal"/>
    <w:link w:val="Heading4Char"/>
    <w:autoRedefine/>
    <w:uiPriority w:val="9"/>
    <w:unhideWhenUsed/>
    <w:qFormat/>
    <w:rsid w:val="004B4394"/>
    <w:pPr>
      <w:keepNext/>
      <w:keepLines/>
      <w:numPr>
        <w:ilvl w:val="3"/>
        <w:numId w:val="1"/>
      </w:numPr>
      <w:shd w:val="clear" w:color="auto" w:fill="D9E2F3" w:themeFill="accent1" w:themeFillTint="33"/>
      <w:spacing w:before="40" w:after="120"/>
      <w:outlineLvl w:val="3"/>
    </w:pPr>
    <w:rPr>
      <w:rFonts w:cstheme="majorBidi"/>
      <w:b/>
      <w:i/>
      <w:iCs/>
      <w:sz w:val="24"/>
    </w:rPr>
  </w:style>
  <w:style w:type="paragraph" w:styleId="Heading5">
    <w:name w:val="heading 5"/>
    <w:basedOn w:val="Normal"/>
    <w:next w:val="Normal"/>
    <w:link w:val="Heading5Char"/>
    <w:uiPriority w:val="9"/>
    <w:semiHidden/>
    <w:unhideWhenUsed/>
    <w:qFormat/>
    <w:rsid w:val="004B439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439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439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43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3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394"/>
    <w:rPr>
      <w:rFonts w:ascii="Calibri Light" w:eastAsiaTheme="majorEastAsia" w:hAnsi="Calibri Light" w:cstheme="majorBidi"/>
      <w:sz w:val="36"/>
      <w:szCs w:val="32"/>
      <w:lang w:val="en-US" w:eastAsia="sv-SE"/>
    </w:rPr>
  </w:style>
  <w:style w:type="character" w:customStyle="1" w:styleId="Heading2Char">
    <w:name w:val="Heading 2 Char"/>
    <w:basedOn w:val="DefaultParagraphFont"/>
    <w:link w:val="Heading2"/>
    <w:uiPriority w:val="9"/>
    <w:rsid w:val="000E6046"/>
    <w:rPr>
      <w:rFonts w:ascii="Calibri Light" w:eastAsiaTheme="majorEastAsia" w:hAnsi="Calibri Light" w:cstheme="majorBidi"/>
      <w:snapToGrid w:val="0"/>
      <w:sz w:val="32"/>
      <w:szCs w:val="26"/>
      <w:shd w:val="clear" w:color="auto" w:fill="DEEAF6" w:themeFill="accent5" w:themeFillTint="33"/>
      <w:lang w:val="en-GB" w:eastAsia="sv-SE"/>
    </w:rPr>
  </w:style>
  <w:style w:type="character" w:customStyle="1" w:styleId="Heading3Char">
    <w:name w:val="Heading 3 Char"/>
    <w:basedOn w:val="DefaultParagraphFont"/>
    <w:link w:val="Heading3"/>
    <w:uiPriority w:val="9"/>
    <w:rsid w:val="004B4394"/>
    <w:rPr>
      <w:rFonts w:ascii="Calibri Light" w:eastAsiaTheme="majorEastAsia" w:hAnsi="Calibri Light" w:cstheme="majorBidi"/>
      <w:sz w:val="28"/>
      <w:szCs w:val="20"/>
      <w:shd w:val="clear" w:color="auto" w:fill="D9E2F3" w:themeFill="accent1" w:themeFillTint="33"/>
      <w:lang w:val="en-GB" w:eastAsia="sv-SE"/>
    </w:rPr>
  </w:style>
  <w:style w:type="character" w:customStyle="1" w:styleId="Heading4Char">
    <w:name w:val="Heading 4 Char"/>
    <w:basedOn w:val="DefaultParagraphFont"/>
    <w:link w:val="Heading4"/>
    <w:uiPriority w:val="9"/>
    <w:rsid w:val="004B4394"/>
    <w:rPr>
      <w:rFonts w:eastAsia="Times New Roman" w:cstheme="majorBidi"/>
      <w:b/>
      <w:i/>
      <w:iCs/>
      <w:sz w:val="24"/>
      <w:szCs w:val="20"/>
      <w:shd w:val="clear" w:color="auto" w:fill="D9E2F3" w:themeFill="accent1" w:themeFillTint="33"/>
      <w:lang w:val="en-GB" w:eastAsia="sv-SE"/>
    </w:rPr>
  </w:style>
  <w:style w:type="character" w:customStyle="1" w:styleId="Heading5Char">
    <w:name w:val="Heading 5 Char"/>
    <w:basedOn w:val="DefaultParagraphFont"/>
    <w:link w:val="Heading5"/>
    <w:uiPriority w:val="9"/>
    <w:semiHidden/>
    <w:rsid w:val="004B4394"/>
    <w:rPr>
      <w:rFonts w:asciiTheme="majorHAnsi" w:eastAsiaTheme="majorEastAsia" w:hAnsiTheme="majorHAnsi" w:cstheme="majorBidi"/>
      <w:color w:val="2F5496" w:themeColor="accent1" w:themeShade="BF"/>
      <w:szCs w:val="20"/>
      <w:lang w:val="en-GB" w:eastAsia="sv-SE"/>
    </w:rPr>
  </w:style>
  <w:style w:type="character" w:customStyle="1" w:styleId="Heading6Char">
    <w:name w:val="Heading 6 Char"/>
    <w:basedOn w:val="DefaultParagraphFont"/>
    <w:link w:val="Heading6"/>
    <w:uiPriority w:val="9"/>
    <w:semiHidden/>
    <w:rsid w:val="004B4394"/>
    <w:rPr>
      <w:rFonts w:asciiTheme="majorHAnsi" w:eastAsiaTheme="majorEastAsia" w:hAnsiTheme="majorHAnsi" w:cstheme="majorBidi"/>
      <w:color w:val="1F3763" w:themeColor="accent1" w:themeShade="7F"/>
      <w:szCs w:val="20"/>
      <w:lang w:val="en-GB" w:eastAsia="sv-SE"/>
    </w:rPr>
  </w:style>
  <w:style w:type="character" w:customStyle="1" w:styleId="Heading7Char">
    <w:name w:val="Heading 7 Char"/>
    <w:basedOn w:val="DefaultParagraphFont"/>
    <w:link w:val="Heading7"/>
    <w:uiPriority w:val="9"/>
    <w:semiHidden/>
    <w:rsid w:val="004B4394"/>
    <w:rPr>
      <w:rFonts w:asciiTheme="majorHAnsi" w:eastAsiaTheme="majorEastAsia" w:hAnsiTheme="majorHAnsi" w:cstheme="majorBidi"/>
      <w:i/>
      <w:iCs/>
      <w:color w:val="1F3763" w:themeColor="accent1" w:themeShade="7F"/>
      <w:szCs w:val="20"/>
      <w:lang w:val="en-GB" w:eastAsia="sv-SE"/>
    </w:rPr>
  </w:style>
  <w:style w:type="character" w:customStyle="1" w:styleId="Heading8Char">
    <w:name w:val="Heading 8 Char"/>
    <w:basedOn w:val="DefaultParagraphFont"/>
    <w:link w:val="Heading8"/>
    <w:uiPriority w:val="9"/>
    <w:semiHidden/>
    <w:rsid w:val="004B4394"/>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4B4394"/>
    <w:rPr>
      <w:rFonts w:asciiTheme="majorHAnsi" w:eastAsiaTheme="majorEastAsia" w:hAnsiTheme="majorHAnsi" w:cstheme="majorBidi"/>
      <w:i/>
      <w:iCs/>
      <w:color w:val="272727" w:themeColor="text1" w:themeTint="D8"/>
      <w:sz w:val="21"/>
      <w:szCs w:val="21"/>
      <w:lang w:val="en-GB" w:eastAsia="sv-SE"/>
    </w:rPr>
  </w:style>
  <w:style w:type="character" w:styleId="PlaceholderText">
    <w:name w:val="Placeholder Text"/>
    <w:basedOn w:val="DefaultParagraphFont"/>
    <w:uiPriority w:val="99"/>
    <w:semiHidden/>
    <w:rsid w:val="004B4394"/>
    <w:rPr>
      <w:color w:val="808080"/>
    </w:rPr>
  </w:style>
  <w:style w:type="paragraph" w:styleId="ListParagraph">
    <w:name w:val="List Paragraph"/>
    <w:basedOn w:val="Normal"/>
    <w:uiPriority w:val="34"/>
    <w:qFormat/>
    <w:rsid w:val="004B4394"/>
    <w:pPr>
      <w:ind w:left="720"/>
      <w:contextualSpacing/>
    </w:pPr>
  </w:style>
  <w:style w:type="paragraph" w:styleId="NoSpacing">
    <w:name w:val="No Spacing"/>
    <w:uiPriority w:val="1"/>
    <w:qFormat/>
    <w:rsid w:val="004B4394"/>
    <w:pPr>
      <w:spacing w:after="0" w:line="240" w:lineRule="auto"/>
    </w:pPr>
    <w:rPr>
      <w:rFonts w:eastAsia="Times New Roman" w:cs="Times New Roman"/>
      <w:szCs w:val="20"/>
      <w:lang w:val="en-GB" w:eastAsia="sv-SE"/>
    </w:rPr>
  </w:style>
  <w:style w:type="table" w:styleId="TableGrid">
    <w:name w:val="Table Grid"/>
    <w:basedOn w:val="TableNormal"/>
    <w:uiPriority w:val="39"/>
    <w:rsid w:val="004B439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394"/>
    <w:pPr>
      <w:autoSpaceDE w:val="0"/>
      <w:autoSpaceDN w:val="0"/>
      <w:adjustRightInd w:val="0"/>
      <w:spacing w:after="0" w:line="240" w:lineRule="auto"/>
    </w:pPr>
    <w:rPr>
      <w:rFonts w:ascii="Calibri" w:eastAsia="Times New Roman" w:hAnsi="Calibri" w:cs="Calibri"/>
      <w:color w:val="000000"/>
      <w:sz w:val="24"/>
      <w:szCs w:val="24"/>
      <w:lang w:val="sv-SE"/>
    </w:rPr>
  </w:style>
  <w:style w:type="paragraph" w:styleId="Header">
    <w:name w:val="header"/>
    <w:basedOn w:val="Normal"/>
    <w:link w:val="HeaderChar"/>
    <w:unhideWhenUsed/>
    <w:rsid w:val="004B4394"/>
    <w:pPr>
      <w:tabs>
        <w:tab w:val="center" w:pos="4513"/>
        <w:tab w:val="right" w:pos="9026"/>
      </w:tabs>
      <w:spacing w:after="0"/>
    </w:pPr>
  </w:style>
  <w:style w:type="character" w:customStyle="1" w:styleId="HeaderChar">
    <w:name w:val="Header Char"/>
    <w:basedOn w:val="DefaultParagraphFont"/>
    <w:link w:val="Header"/>
    <w:rsid w:val="004B4394"/>
    <w:rPr>
      <w:rFonts w:eastAsia="Times New Roman" w:cs="Times New Roman"/>
      <w:szCs w:val="20"/>
      <w:lang w:val="en-GB" w:eastAsia="sv-SE"/>
    </w:rPr>
  </w:style>
  <w:style w:type="paragraph" w:styleId="Footer">
    <w:name w:val="footer"/>
    <w:basedOn w:val="Normal"/>
    <w:link w:val="FooterChar"/>
    <w:uiPriority w:val="99"/>
    <w:unhideWhenUsed/>
    <w:rsid w:val="004B4394"/>
    <w:pPr>
      <w:tabs>
        <w:tab w:val="center" w:pos="4513"/>
        <w:tab w:val="right" w:pos="9026"/>
      </w:tabs>
      <w:spacing w:after="0"/>
    </w:pPr>
  </w:style>
  <w:style w:type="character" w:customStyle="1" w:styleId="FooterChar">
    <w:name w:val="Footer Char"/>
    <w:basedOn w:val="DefaultParagraphFont"/>
    <w:link w:val="Footer"/>
    <w:uiPriority w:val="99"/>
    <w:rsid w:val="004B4394"/>
    <w:rPr>
      <w:rFonts w:eastAsia="Times New Roman" w:cs="Times New Roman"/>
      <w:szCs w:val="20"/>
      <w:lang w:val="en-GB" w:eastAsia="sv-SE"/>
    </w:rPr>
  </w:style>
  <w:style w:type="paragraph" w:styleId="Title">
    <w:name w:val="Title"/>
    <w:basedOn w:val="Normal"/>
    <w:next w:val="Normal"/>
    <w:link w:val="TitleChar"/>
    <w:uiPriority w:val="10"/>
    <w:qFormat/>
    <w:rsid w:val="004B43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394"/>
    <w:rPr>
      <w:rFonts w:asciiTheme="majorHAnsi" w:eastAsiaTheme="majorEastAsia" w:hAnsiTheme="majorHAnsi" w:cstheme="majorBidi"/>
      <w:spacing w:val="-10"/>
      <w:kern w:val="28"/>
      <w:sz w:val="56"/>
      <w:szCs w:val="56"/>
      <w:lang w:val="en-GB" w:eastAsia="sv-SE"/>
    </w:rPr>
  </w:style>
  <w:style w:type="character" w:styleId="CommentReference">
    <w:name w:val="annotation reference"/>
    <w:basedOn w:val="DefaultParagraphFont"/>
    <w:uiPriority w:val="99"/>
    <w:semiHidden/>
    <w:unhideWhenUsed/>
    <w:rsid w:val="00B27B27"/>
    <w:rPr>
      <w:sz w:val="16"/>
      <w:szCs w:val="16"/>
    </w:rPr>
  </w:style>
  <w:style w:type="paragraph" w:styleId="CommentText">
    <w:name w:val="annotation text"/>
    <w:basedOn w:val="Normal"/>
    <w:link w:val="CommentTextChar"/>
    <w:uiPriority w:val="99"/>
    <w:semiHidden/>
    <w:unhideWhenUsed/>
    <w:rsid w:val="00B27B27"/>
    <w:rPr>
      <w:sz w:val="20"/>
    </w:rPr>
  </w:style>
  <w:style w:type="character" w:customStyle="1" w:styleId="CommentTextChar">
    <w:name w:val="Comment Text Char"/>
    <w:basedOn w:val="DefaultParagraphFont"/>
    <w:link w:val="CommentText"/>
    <w:uiPriority w:val="99"/>
    <w:semiHidden/>
    <w:rsid w:val="00B27B27"/>
    <w:rPr>
      <w:rFonts w:eastAsia="Times New Roman"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B27B27"/>
    <w:rPr>
      <w:b/>
      <w:bCs/>
    </w:rPr>
  </w:style>
  <w:style w:type="character" w:customStyle="1" w:styleId="CommentSubjectChar">
    <w:name w:val="Comment Subject Char"/>
    <w:basedOn w:val="CommentTextChar"/>
    <w:link w:val="CommentSubject"/>
    <w:uiPriority w:val="99"/>
    <w:semiHidden/>
    <w:rsid w:val="00B27B27"/>
    <w:rPr>
      <w:rFonts w:eastAsia="Times New Roman" w:cs="Times New Roman"/>
      <w:b/>
      <w:bCs/>
      <w:sz w:val="20"/>
      <w:szCs w:val="20"/>
      <w:lang w:val="en-GB" w:eastAsia="sv-SE"/>
    </w:rPr>
  </w:style>
  <w:style w:type="paragraph" w:styleId="BalloonText">
    <w:name w:val="Balloon Text"/>
    <w:basedOn w:val="Normal"/>
    <w:link w:val="BalloonTextChar"/>
    <w:uiPriority w:val="99"/>
    <w:semiHidden/>
    <w:unhideWhenUsed/>
    <w:rsid w:val="00B27B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27"/>
    <w:rPr>
      <w:rFonts w:ascii="Segoe UI" w:eastAsia="Times New Roman"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14DFFE84B45758F7929EF88B91F36"/>
        <w:category>
          <w:name w:val="General"/>
          <w:gallery w:val="placeholder"/>
        </w:category>
        <w:types>
          <w:type w:val="bbPlcHdr"/>
        </w:types>
        <w:behaviors>
          <w:behavior w:val="content"/>
        </w:behaviors>
        <w:guid w:val="{F1324E53-C731-4E93-BAD0-1461B76C4A1B}"/>
      </w:docPartPr>
      <w:docPartBody>
        <w:p w:rsidR="00000000" w:rsidRDefault="008565E0" w:rsidP="008565E0">
          <w:pPr>
            <w:pStyle w:val="95314DFFE84B45758F7929EF88B91F36"/>
          </w:pPr>
          <w:r w:rsidRPr="003823F6">
            <w:rPr>
              <w:rStyle w:val="PlaceholderText"/>
              <w:rFonts w:eastAsiaTheme="minorHAnsi"/>
              <w:highlight w:val="yellow"/>
              <w:lang w:val="en-US"/>
            </w:rPr>
            <w:t>&lt;Publication reference&gt;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E0"/>
    <w:rsid w:val="008565E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5E0"/>
    <w:rPr>
      <w:color w:val="808080"/>
    </w:rPr>
  </w:style>
  <w:style w:type="paragraph" w:customStyle="1" w:styleId="95314DFFE84B45758F7929EF88B91F36">
    <w:name w:val="95314DFFE84B45758F7929EF88B91F36"/>
    <w:rsid w:val="00856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Vestling</dc:creator>
  <cp:keywords/>
  <dc:description/>
  <cp:lastModifiedBy>Andre Vestling</cp:lastModifiedBy>
  <cp:revision>2</cp:revision>
  <dcterms:created xsi:type="dcterms:W3CDTF">2018-09-19T08:27:00Z</dcterms:created>
  <dcterms:modified xsi:type="dcterms:W3CDTF">2018-09-19T08:27:00Z</dcterms:modified>
</cp:coreProperties>
</file>